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2A2E04">
        <w:rPr>
          <w:b/>
          <w:sz w:val="20"/>
          <w:szCs w:val="20"/>
        </w:rPr>
        <w:t>М13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2A2E04">
        <w:rPr>
          <w:sz w:val="20"/>
          <w:szCs w:val="20"/>
        </w:rPr>
        <w:t>декабря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2A2E04">
        <w:rPr>
          <w:sz w:val="20"/>
          <w:szCs w:val="20"/>
        </w:rPr>
        <w:t>Черных О.Е</w:t>
      </w:r>
      <w:r w:rsidR="007D0349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2A2E04">
        <w:rPr>
          <w:sz w:val="20"/>
          <w:szCs w:val="20"/>
        </w:rPr>
        <w:t>Мичурина, д. 13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2A2E04">
        <w:rPr>
          <w:sz w:val="20"/>
          <w:szCs w:val="20"/>
        </w:rPr>
        <w:t>29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2A2E04">
        <w:rPr>
          <w:sz w:val="20"/>
          <w:szCs w:val="20"/>
        </w:rPr>
        <w:t>ноября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2A2E04">
        <w:rPr>
          <w:sz w:val="20"/>
          <w:szCs w:val="20"/>
        </w:rPr>
        <w:t>Мичурина, д. 13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2A2E04">
        <w:rPr>
          <w:color w:val="000000"/>
          <w:sz w:val="20"/>
          <w:szCs w:val="20"/>
          <w:lang w:eastAsia="ru-RU"/>
        </w:rPr>
        <w:t>195</w:t>
      </w:r>
      <w:r w:rsidR="007D0349">
        <w:rPr>
          <w:color w:val="000000"/>
          <w:sz w:val="20"/>
          <w:szCs w:val="20"/>
          <w:lang w:eastAsia="ru-RU"/>
        </w:rPr>
        <w:t>7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2A2E04">
        <w:rPr>
          <w:sz w:val="20"/>
          <w:szCs w:val="20"/>
        </w:rPr>
        <w:t>3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2A2E04">
        <w:rPr>
          <w:sz w:val="20"/>
          <w:szCs w:val="20"/>
        </w:rPr>
        <w:t>33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2A2E04">
        <w:rPr>
          <w:sz w:val="20"/>
          <w:szCs w:val="20"/>
        </w:rPr>
        <w:t>2008,7</w:t>
      </w:r>
      <w:r w:rsidR="007D0349">
        <w:rPr>
          <w:sz w:val="20"/>
          <w:szCs w:val="20"/>
        </w:rPr>
        <w:t>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2A2E04">
        <w:rPr>
          <w:sz w:val="20"/>
          <w:szCs w:val="20"/>
        </w:rPr>
        <w:t>37</w:t>
      </w:r>
      <w:r w:rsidR="000E281D">
        <w:rPr>
          <w:sz w:val="20"/>
          <w:szCs w:val="20"/>
        </w:rPr>
        <w:t>,60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2A2E04">
        <w:rPr>
          <w:sz w:val="20"/>
          <w:szCs w:val="20"/>
        </w:rPr>
        <w:t>дека</w:t>
      </w:r>
      <w:r w:rsidR="007D0349">
        <w:rPr>
          <w:sz w:val="20"/>
          <w:szCs w:val="20"/>
        </w:rPr>
        <w:t>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</w:t>
            </w:r>
            <w:proofErr w:type="spellEnd"/>
            <w:r w:rsidRPr="0010470C">
              <w:rPr>
                <w:sz w:val="20"/>
                <w:szCs w:val="20"/>
              </w:rPr>
              <w:t>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7D0349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2A2E04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2A2E04">
        <w:rPr>
          <w:sz w:val="20"/>
          <w:szCs w:val="20"/>
        </w:rPr>
        <w:t>М13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2A2E04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2A2E04">
        <w:rPr>
          <w:sz w:val="20"/>
          <w:szCs w:val="20"/>
        </w:rPr>
        <w:t>Мичурина, д. 13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2A2E04" w:rsidTr="006A2B38">
        <w:tc>
          <w:tcPr>
            <w:tcW w:w="4673" w:type="dxa"/>
          </w:tcPr>
          <w:p w:rsidR="002A2E04" w:rsidRDefault="002A2E04" w:rsidP="006A2B38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2A2E04" w:rsidRDefault="002A2E04" w:rsidP="006A2B38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2A2E04" w:rsidTr="006A2B38">
        <w:tc>
          <w:tcPr>
            <w:tcW w:w="4673" w:type="dxa"/>
          </w:tcPr>
          <w:p w:rsidR="002A2E04" w:rsidRDefault="002A2E04" w:rsidP="006A2B38">
            <w:pPr>
              <w:rPr>
                <w:b/>
                <w:sz w:val="20"/>
                <w:szCs w:val="20"/>
              </w:rPr>
            </w:pPr>
          </w:p>
          <w:p w:rsidR="002A2E04" w:rsidRDefault="002A2E04" w:rsidP="006A2B38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Черных О.Е./ </w:t>
            </w:r>
          </w:p>
        </w:tc>
        <w:tc>
          <w:tcPr>
            <w:tcW w:w="4954" w:type="dxa"/>
          </w:tcPr>
          <w:p w:rsidR="002A2E04" w:rsidRDefault="002A2E04" w:rsidP="006A2B38">
            <w:pPr>
              <w:jc w:val="center"/>
              <w:rPr>
                <w:sz w:val="20"/>
                <w:szCs w:val="20"/>
              </w:rPr>
            </w:pPr>
          </w:p>
          <w:p w:rsidR="002A2E04" w:rsidRPr="00BE3249" w:rsidRDefault="002A2E04" w:rsidP="006A2B38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2A2E04" w:rsidRPr="0010470C" w:rsidRDefault="002A2E04" w:rsidP="002A2E04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2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2A2E04">
        <w:rPr>
          <w:sz w:val="20"/>
          <w:szCs w:val="20"/>
        </w:rPr>
        <w:t>М13</w:t>
      </w:r>
      <w:r>
        <w:rPr>
          <w:sz w:val="20"/>
          <w:szCs w:val="20"/>
        </w:rPr>
        <w:t>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2A2E04">
        <w:rPr>
          <w:sz w:val="20"/>
          <w:szCs w:val="20"/>
        </w:rPr>
        <w:t>дека</w:t>
      </w:r>
      <w:r>
        <w:rPr>
          <w:sz w:val="20"/>
          <w:szCs w:val="20"/>
        </w:rPr>
        <w:t xml:space="preserve">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2A2E04">
        <w:rPr>
          <w:sz w:val="20"/>
          <w:szCs w:val="20"/>
        </w:rPr>
        <w:t>Мичурина, д. 13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D86BF4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2A2E04" w:rsidTr="006A2B38">
        <w:tc>
          <w:tcPr>
            <w:tcW w:w="4673" w:type="dxa"/>
          </w:tcPr>
          <w:p w:rsidR="002A2E04" w:rsidRDefault="002A2E04" w:rsidP="006A2B38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2A2E04" w:rsidRDefault="002A2E04" w:rsidP="006A2B38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2A2E04" w:rsidTr="006A2B38">
        <w:tc>
          <w:tcPr>
            <w:tcW w:w="4673" w:type="dxa"/>
          </w:tcPr>
          <w:p w:rsidR="002A2E04" w:rsidRDefault="002A2E04" w:rsidP="006A2B38">
            <w:pPr>
              <w:rPr>
                <w:b/>
                <w:sz w:val="20"/>
                <w:szCs w:val="20"/>
              </w:rPr>
            </w:pPr>
          </w:p>
          <w:p w:rsidR="002A2E04" w:rsidRDefault="002A2E04" w:rsidP="006A2B38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Черных О.Е./ </w:t>
            </w:r>
          </w:p>
        </w:tc>
        <w:tc>
          <w:tcPr>
            <w:tcW w:w="4954" w:type="dxa"/>
          </w:tcPr>
          <w:p w:rsidR="002A2E04" w:rsidRDefault="002A2E04" w:rsidP="006A2B38">
            <w:pPr>
              <w:jc w:val="center"/>
              <w:rPr>
                <w:sz w:val="20"/>
                <w:szCs w:val="20"/>
              </w:rPr>
            </w:pPr>
          </w:p>
          <w:p w:rsidR="002A2E04" w:rsidRPr="00BE3249" w:rsidRDefault="002A2E04" w:rsidP="006A2B38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2A2E04" w:rsidRPr="0010470C" w:rsidRDefault="002A2E04" w:rsidP="002A2E04">
      <w:pPr>
        <w:jc w:val="center"/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2A2E04">
        <w:rPr>
          <w:sz w:val="20"/>
          <w:szCs w:val="20"/>
        </w:rPr>
        <w:t>М13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2A2E04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7D0349" w:rsidRPr="0058250E" w:rsidRDefault="007D0349" w:rsidP="007D03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2A2E04">
        <w:rPr>
          <w:sz w:val="20"/>
          <w:szCs w:val="20"/>
        </w:rPr>
        <w:t>Мичурина, д. 13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D86BF4" w:rsidRDefault="00D86BF4" w:rsidP="00D86BF4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D86BF4" w:rsidRDefault="00D86BF4" w:rsidP="00D86BF4">
      <w:pPr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page" w:tblpX="1" w:tblpY="381"/>
        <w:tblW w:w="10914" w:type="dxa"/>
        <w:tblLook w:val="04A0" w:firstRow="1" w:lastRow="0" w:firstColumn="1" w:lastColumn="0" w:noHBand="0" w:noVBand="1"/>
      </w:tblPr>
      <w:tblGrid>
        <w:gridCol w:w="505"/>
        <w:gridCol w:w="322"/>
        <w:gridCol w:w="371"/>
        <w:gridCol w:w="370"/>
        <w:gridCol w:w="355"/>
        <w:gridCol w:w="322"/>
        <w:gridCol w:w="322"/>
        <w:gridCol w:w="322"/>
        <w:gridCol w:w="322"/>
        <w:gridCol w:w="322"/>
        <w:gridCol w:w="340"/>
        <w:gridCol w:w="340"/>
        <w:gridCol w:w="340"/>
        <w:gridCol w:w="340"/>
        <w:gridCol w:w="340"/>
        <w:gridCol w:w="1147"/>
        <w:gridCol w:w="378"/>
        <w:gridCol w:w="378"/>
        <w:gridCol w:w="3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86BF4" w:rsidRPr="00D86BF4" w:rsidTr="00D86BF4">
        <w:trPr>
          <w:trHeight w:val="300"/>
        </w:trPr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Ι. Содержание мест общего пользования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40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D86BF4">
              <w:rPr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D86BF4">
              <w:rPr>
                <w:color w:val="000000"/>
                <w:sz w:val="16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D86BF4" w:rsidRPr="00D86BF4" w:rsidTr="00D86BF4">
        <w:trPr>
          <w:trHeight w:val="300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86BF4" w:rsidRPr="00D86BF4" w:rsidTr="00D86BF4">
        <w:trPr>
          <w:trHeight w:val="300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6BF4">
              <w:rPr>
                <w:color w:val="000000"/>
                <w:sz w:val="18"/>
                <w:szCs w:val="18"/>
                <w:lang w:eastAsia="ru-RU"/>
              </w:rPr>
              <w:t>47954,63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15058,92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1169,63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64183,17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15"/>
        </w:trPr>
        <w:tc>
          <w:tcPr>
            <w:tcW w:w="71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42398,91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34796,34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31287,47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8187,38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150296,81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266966,91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11,08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15"/>
        </w:trPr>
        <w:tc>
          <w:tcPr>
            <w:tcW w:w="85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6BF4">
              <w:rPr>
                <w:color w:val="000000"/>
                <w:sz w:val="16"/>
                <w:szCs w:val="16"/>
                <w:lang w:eastAsia="ru-RU"/>
              </w:rPr>
              <w:t>ΙΙΙ.Техническое</w:t>
            </w:r>
            <w:proofErr w:type="spellEnd"/>
            <w:r w:rsidRPr="00D86BF4">
              <w:rPr>
                <w:color w:val="000000"/>
                <w:sz w:val="16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D86BF4">
              <w:rPr>
                <w:color w:val="000000"/>
                <w:sz w:val="16"/>
                <w:szCs w:val="16"/>
                <w:lang w:eastAsia="ru-RU"/>
              </w:rPr>
              <w:t>многокваптирном</w:t>
            </w:r>
            <w:proofErr w:type="spellEnd"/>
            <w:r w:rsidRPr="00D86BF4">
              <w:rPr>
                <w:color w:val="000000"/>
                <w:sz w:val="16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2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140939,81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5,85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6BF4">
              <w:rPr>
                <w:color w:val="000000"/>
                <w:sz w:val="16"/>
                <w:szCs w:val="16"/>
                <w:lang w:eastAsia="ru-RU"/>
              </w:rPr>
              <w:t>Аварийно</w:t>
            </w:r>
            <w:proofErr w:type="spellEnd"/>
            <w:r w:rsidRPr="00D86BF4">
              <w:rPr>
                <w:color w:val="000000"/>
                <w:sz w:val="16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D86BF4">
              <w:rPr>
                <w:color w:val="000000"/>
                <w:sz w:val="16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D86BF4">
              <w:rPr>
                <w:color w:val="000000"/>
                <w:sz w:val="16"/>
                <w:szCs w:val="16"/>
                <w:lang w:eastAsia="ru-RU"/>
              </w:rPr>
              <w:t>, энергоснабжения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63744,56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6BF4">
              <w:rPr>
                <w:color w:val="000000"/>
                <w:sz w:val="18"/>
                <w:szCs w:val="18"/>
                <w:lang w:eastAsia="ru-RU"/>
              </w:rPr>
              <w:t>2631,66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877,22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6BF4">
              <w:rPr>
                <w:color w:val="000000"/>
                <w:sz w:val="18"/>
                <w:szCs w:val="18"/>
                <w:lang w:eastAsia="ru-RU"/>
              </w:rPr>
              <w:t>128951,16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337144,41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13,99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BF4" w:rsidRPr="00D86BF4" w:rsidTr="00D86BF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668294,49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27,73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F4" w:rsidRPr="00D86BF4" w:rsidRDefault="00D86BF4" w:rsidP="00D86BF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86BF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B35CA" w:rsidRDefault="00CB35CA" w:rsidP="004F5166">
      <w:pPr>
        <w:jc w:val="center"/>
        <w:rPr>
          <w:b/>
          <w:sz w:val="12"/>
          <w:szCs w:val="10"/>
        </w:rPr>
      </w:pPr>
    </w:p>
    <w:p w:rsidR="002A2E04" w:rsidRDefault="002A2E04" w:rsidP="004F5166">
      <w:pPr>
        <w:jc w:val="center"/>
        <w:rPr>
          <w:b/>
          <w:sz w:val="12"/>
          <w:szCs w:val="10"/>
        </w:rPr>
      </w:pPr>
    </w:p>
    <w:p w:rsidR="002A2E04" w:rsidRDefault="002A2E04" w:rsidP="004F5166">
      <w:pPr>
        <w:jc w:val="center"/>
        <w:rPr>
          <w:b/>
          <w:sz w:val="12"/>
          <w:szCs w:val="10"/>
        </w:rPr>
      </w:pPr>
    </w:p>
    <w:p w:rsidR="00D86BF4" w:rsidRPr="00227BD0" w:rsidRDefault="00D86BF4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2A2E04" w:rsidTr="006A2B38">
        <w:tc>
          <w:tcPr>
            <w:tcW w:w="4673" w:type="dxa"/>
          </w:tcPr>
          <w:p w:rsidR="002A2E04" w:rsidRDefault="002A2E04" w:rsidP="006A2B38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2A2E04" w:rsidRDefault="002A2E04" w:rsidP="006A2B38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2A2E04" w:rsidTr="006A2B38">
        <w:tc>
          <w:tcPr>
            <w:tcW w:w="4673" w:type="dxa"/>
          </w:tcPr>
          <w:p w:rsidR="002A2E04" w:rsidRDefault="002A2E04" w:rsidP="006A2B38">
            <w:pPr>
              <w:rPr>
                <w:b/>
                <w:sz w:val="20"/>
                <w:szCs w:val="20"/>
              </w:rPr>
            </w:pPr>
          </w:p>
          <w:p w:rsidR="002A2E04" w:rsidRDefault="002A2E04" w:rsidP="006A2B38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Черных О.Е./ </w:t>
            </w:r>
          </w:p>
        </w:tc>
        <w:tc>
          <w:tcPr>
            <w:tcW w:w="4954" w:type="dxa"/>
          </w:tcPr>
          <w:p w:rsidR="002A2E04" w:rsidRDefault="002A2E04" w:rsidP="006A2B38">
            <w:pPr>
              <w:jc w:val="center"/>
              <w:rPr>
                <w:sz w:val="20"/>
                <w:szCs w:val="20"/>
              </w:rPr>
            </w:pPr>
          </w:p>
          <w:p w:rsidR="002A2E04" w:rsidRPr="00BE3249" w:rsidRDefault="002A2E04" w:rsidP="006A2B38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2A2E04" w:rsidRPr="0010470C" w:rsidRDefault="002A2E04" w:rsidP="002A2E04">
      <w:pPr>
        <w:jc w:val="center"/>
        <w:rPr>
          <w:b/>
          <w:sz w:val="20"/>
          <w:szCs w:val="20"/>
        </w:rPr>
      </w:pPr>
    </w:p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85" w:rsidRDefault="009E6085" w:rsidP="00C95070">
      <w:r>
        <w:separator/>
      </w:r>
    </w:p>
  </w:endnote>
  <w:endnote w:type="continuationSeparator" w:id="0">
    <w:p w:rsidR="009E6085" w:rsidRDefault="009E608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D86BF4">
      <w:rPr>
        <w:noProof/>
      </w:rPr>
      <w:t>15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85" w:rsidRDefault="009E6085" w:rsidP="00C95070">
      <w:r>
        <w:separator/>
      </w:r>
    </w:p>
  </w:footnote>
  <w:footnote w:type="continuationSeparator" w:id="0">
    <w:p w:rsidR="009E6085" w:rsidRDefault="009E608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A2E04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6BF4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4522-6141-4931-9232-B063B4F1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10368</Words>
  <Characters>59101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Зубарев Константин Владимирович</cp:lastModifiedBy>
  <cp:revision>3</cp:revision>
  <cp:lastPrinted>2015-12-22T10:35:00Z</cp:lastPrinted>
  <dcterms:created xsi:type="dcterms:W3CDTF">2017-06-29T09:49:00Z</dcterms:created>
  <dcterms:modified xsi:type="dcterms:W3CDTF">2017-07-05T12:30:00Z</dcterms:modified>
</cp:coreProperties>
</file>